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00FEE" w14:textId="77777777" w:rsidR="00AD6A99" w:rsidRPr="006A5E13" w:rsidRDefault="00AD6A99" w:rsidP="00AD6A99">
      <w:pPr>
        <w:widowControl w:val="0"/>
        <w:autoSpaceDE w:val="0"/>
        <w:autoSpaceDN w:val="0"/>
        <w:adjustRightInd w:val="0"/>
        <w:rPr>
          <w:rFonts w:ascii="Helvetica Neue" w:hAnsi="Helvetica Neue" w:cs="Times New Roman"/>
          <w:b/>
          <w:color w:val="000000" w:themeColor="text1"/>
          <w:sz w:val="22"/>
          <w:szCs w:val="22"/>
        </w:rPr>
      </w:pPr>
      <w:bookmarkStart w:id="0" w:name="_GoBack"/>
      <w:bookmarkEnd w:id="0"/>
      <w:r w:rsidRPr="006A5E13">
        <w:rPr>
          <w:rFonts w:ascii="Helvetica Neue" w:hAnsi="Helvetica Neue" w:cs="Times New Roman"/>
          <w:b/>
          <w:color w:val="000000" w:themeColor="text1"/>
          <w:sz w:val="22"/>
          <w:szCs w:val="22"/>
        </w:rPr>
        <w:t>CHANGES TO ASTM D3487</w:t>
      </w:r>
    </w:p>
    <w:p w14:paraId="641FE9BC" w14:textId="77777777" w:rsidR="002F0C65" w:rsidRPr="006A5E13" w:rsidRDefault="002F0C65" w:rsidP="00AD6A99">
      <w:pPr>
        <w:widowControl w:val="0"/>
        <w:autoSpaceDE w:val="0"/>
        <w:autoSpaceDN w:val="0"/>
        <w:adjustRightInd w:val="0"/>
        <w:rPr>
          <w:rFonts w:ascii="Helvetica Neue" w:hAnsi="Helvetica Neue" w:cs="Times New Roman"/>
          <w:color w:val="000000" w:themeColor="text1"/>
          <w:sz w:val="22"/>
          <w:szCs w:val="22"/>
        </w:rPr>
      </w:pPr>
    </w:p>
    <w:p w14:paraId="4FD3D17B" w14:textId="1ABB4579" w:rsidR="00023DEE" w:rsidRDefault="00023DEE" w:rsidP="00AD6A99">
      <w:pPr>
        <w:widowControl w:val="0"/>
        <w:autoSpaceDE w:val="0"/>
        <w:autoSpaceDN w:val="0"/>
        <w:adjustRightInd w:val="0"/>
        <w:rPr>
          <w:rFonts w:ascii="Helvetica Neue" w:hAnsi="Helvetica Neue" w:cs="Calibri"/>
          <w:color w:val="000000" w:themeColor="text1"/>
          <w:sz w:val="22"/>
          <w:szCs w:val="22"/>
        </w:rPr>
      </w:pPr>
      <w:r>
        <w:rPr>
          <w:rFonts w:ascii="Helvetica Neue" w:hAnsi="Helvetica Neue" w:cs="Calibri"/>
          <w:color w:val="000000" w:themeColor="text1"/>
          <w:sz w:val="22"/>
          <w:szCs w:val="22"/>
        </w:rPr>
        <w:t>Thursday, October 27, 2016</w:t>
      </w:r>
    </w:p>
    <w:p w14:paraId="0C184928" w14:textId="77777777" w:rsidR="00023DEE" w:rsidRDefault="00023DEE" w:rsidP="00AD6A99">
      <w:pPr>
        <w:widowControl w:val="0"/>
        <w:autoSpaceDE w:val="0"/>
        <w:autoSpaceDN w:val="0"/>
        <w:adjustRightInd w:val="0"/>
        <w:rPr>
          <w:rFonts w:ascii="Helvetica Neue" w:hAnsi="Helvetica Neue" w:cs="Calibri"/>
          <w:color w:val="000000" w:themeColor="text1"/>
          <w:sz w:val="22"/>
          <w:szCs w:val="22"/>
        </w:rPr>
      </w:pPr>
    </w:p>
    <w:p w14:paraId="182BB320" w14:textId="5FDC7783" w:rsidR="00AD6A99" w:rsidRPr="006A5E13" w:rsidRDefault="006A5E13" w:rsidP="00AD6A99">
      <w:pPr>
        <w:widowControl w:val="0"/>
        <w:autoSpaceDE w:val="0"/>
        <w:autoSpaceDN w:val="0"/>
        <w:adjustRightInd w:val="0"/>
        <w:rPr>
          <w:rFonts w:ascii="Helvetica Neue" w:hAnsi="Helvetica Neue" w:cs="Times New Roman"/>
          <w:color w:val="000000" w:themeColor="text1"/>
          <w:sz w:val="22"/>
          <w:szCs w:val="22"/>
        </w:rPr>
      </w:pPr>
      <w:r w:rsidRPr="006A5E13">
        <w:rPr>
          <w:rFonts w:ascii="Helvetica Neue" w:hAnsi="Helvetica Neue" w:cs="Calibri"/>
          <w:color w:val="000000" w:themeColor="text1"/>
          <w:sz w:val="22"/>
          <w:szCs w:val="22"/>
        </w:rPr>
        <w:t>An u</w:t>
      </w:r>
      <w:r w:rsidR="009B5321">
        <w:rPr>
          <w:rFonts w:ascii="Helvetica Neue" w:hAnsi="Helvetica Neue" w:cs="Calibri"/>
          <w:color w:val="000000" w:themeColor="text1"/>
          <w:sz w:val="22"/>
          <w:szCs w:val="22"/>
        </w:rPr>
        <w:t>pdate to ASTM’s D</w:t>
      </w:r>
      <w:r w:rsidRPr="006A5E13">
        <w:rPr>
          <w:rFonts w:ascii="Helvetica Neue" w:hAnsi="Helvetica Neue" w:cs="Calibri"/>
          <w:color w:val="000000" w:themeColor="text1"/>
          <w:sz w:val="22"/>
          <w:szCs w:val="22"/>
        </w:rPr>
        <w:t>3487 has recently been released</w:t>
      </w:r>
      <w:r>
        <w:rPr>
          <w:rFonts w:ascii="Helvetica Neue" w:hAnsi="Helvetica Neue" w:cs="Calibri"/>
          <w:color w:val="000000" w:themeColor="text1"/>
          <w:sz w:val="22"/>
          <w:szCs w:val="22"/>
        </w:rPr>
        <w:t xml:space="preserve">, updating </w:t>
      </w:r>
      <w:r w:rsidRPr="006A5E13">
        <w:rPr>
          <w:rFonts w:ascii="Helvetica Neue" w:hAnsi="Helvetica Neue" w:cs="Calibri"/>
          <w:color w:val="000000" w:themeColor="text1"/>
          <w:sz w:val="22"/>
          <w:szCs w:val="22"/>
        </w:rPr>
        <w:t>the standards for transformer oil. </w:t>
      </w:r>
      <w:r>
        <w:rPr>
          <w:rFonts w:ascii="Helvetica Neue" w:hAnsi="Helvetica Neue" w:cs="Calibri"/>
          <w:color w:val="000000" w:themeColor="text1"/>
          <w:sz w:val="22"/>
          <w:szCs w:val="22"/>
        </w:rPr>
        <w:t>S</w:t>
      </w:r>
      <w:r w:rsidRPr="006A5E13">
        <w:rPr>
          <w:rFonts w:ascii="Helvetica Neue" w:hAnsi="Helvetica Neue" w:cs="Calibri"/>
          <w:color w:val="000000" w:themeColor="text1"/>
          <w:sz w:val="22"/>
          <w:szCs w:val="22"/>
        </w:rPr>
        <w:t>tandards are updated as a result of the efforts of many dedicated industry professionals who contribute their technical and operation</w:t>
      </w:r>
      <w:r>
        <w:rPr>
          <w:rFonts w:ascii="Helvetica Neue" w:hAnsi="Helvetica Neue" w:cs="Calibri"/>
          <w:color w:val="000000" w:themeColor="text1"/>
          <w:sz w:val="22"/>
          <w:szCs w:val="22"/>
        </w:rPr>
        <w:t xml:space="preserve">al knowledge to </w:t>
      </w:r>
      <w:r w:rsidRPr="006A5E13">
        <w:rPr>
          <w:rFonts w:ascii="Helvetica Neue" w:hAnsi="Helvetica Neue" w:cs="Calibri"/>
          <w:color w:val="000000" w:themeColor="text1"/>
          <w:sz w:val="22"/>
          <w:szCs w:val="22"/>
        </w:rPr>
        <w:t>maintenance of the standards. </w:t>
      </w:r>
      <w:r w:rsidR="00E77D1C">
        <w:rPr>
          <w:rFonts w:ascii="Helvetica Neue" w:hAnsi="Helvetica Neue" w:cs="Calibri"/>
          <w:color w:val="000000" w:themeColor="text1"/>
          <w:sz w:val="22"/>
          <w:szCs w:val="22"/>
        </w:rPr>
        <w:t>Anyone who depends on D</w:t>
      </w:r>
      <w:r w:rsidR="00E77D1C" w:rsidRPr="006A5E13">
        <w:rPr>
          <w:rFonts w:ascii="Helvetica Neue" w:hAnsi="Helvetica Neue" w:cs="Calibri"/>
          <w:color w:val="000000" w:themeColor="text1"/>
          <w:sz w:val="22"/>
          <w:szCs w:val="22"/>
        </w:rPr>
        <w:t xml:space="preserve">3487 </w:t>
      </w:r>
      <w:r w:rsidR="00E77D1C">
        <w:rPr>
          <w:rFonts w:ascii="Helvetica Neue" w:hAnsi="Helvetica Neue" w:cs="Calibri"/>
          <w:color w:val="000000" w:themeColor="text1"/>
          <w:sz w:val="22"/>
          <w:szCs w:val="22"/>
        </w:rPr>
        <w:t xml:space="preserve">is encouraged to </w:t>
      </w:r>
      <w:r w:rsidR="00E77D1C" w:rsidRPr="006A5E13">
        <w:rPr>
          <w:rFonts w:ascii="Helvetica Neue" w:hAnsi="Helvetica Neue" w:cs="Calibri"/>
          <w:color w:val="000000" w:themeColor="text1"/>
          <w:sz w:val="22"/>
          <w:szCs w:val="22"/>
        </w:rPr>
        <w:t>stay up to date.</w:t>
      </w:r>
      <w:r w:rsidR="00E77D1C">
        <w:rPr>
          <w:rFonts w:ascii="Helvetica Neue" w:hAnsi="Helvetica Neue" w:cs="Calibri"/>
          <w:color w:val="000000" w:themeColor="text1"/>
          <w:sz w:val="22"/>
          <w:szCs w:val="22"/>
        </w:rPr>
        <w:t xml:space="preserve"> Hard copies and PDF versions of the updated standard are</w:t>
      </w:r>
      <w:r w:rsidRPr="006A5E13">
        <w:rPr>
          <w:rFonts w:ascii="Helvetica Neue" w:hAnsi="Helvetica Neue" w:cs="Calibri"/>
          <w:color w:val="000000" w:themeColor="text1"/>
          <w:sz w:val="22"/>
          <w:szCs w:val="22"/>
        </w:rPr>
        <w:t xml:space="preserve"> available f</w:t>
      </w:r>
      <w:r w:rsidR="00E77D1C">
        <w:rPr>
          <w:rFonts w:ascii="Helvetica Neue" w:hAnsi="Helvetica Neue" w:cs="Calibri"/>
          <w:color w:val="000000" w:themeColor="text1"/>
          <w:sz w:val="22"/>
          <w:szCs w:val="22"/>
        </w:rPr>
        <w:t>o</w:t>
      </w:r>
      <w:r w:rsidRPr="006A5E13">
        <w:rPr>
          <w:rFonts w:ascii="Helvetica Neue" w:hAnsi="Helvetica Neue" w:cs="Calibri"/>
          <w:color w:val="000000" w:themeColor="text1"/>
          <w:sz w:val="22"/>
          <w:szCs w:val="22"/>
        </w:rPr>
        <w:t>r purchase and download from many trusted sources</w:t>
      </w:r>
      <w:r w:rsidR="00E77D1C">
        <w:rPr>
          <w:rFonts w:ascii="Helvetica Neue" w:hAnsi="Helvetica Neue" w:cs="Calibri"/>
          <w:color w:val="000000" w:themeColor="text1"/>
          <w:sz w:val="22"/>
          <w:szCs w:val="22"/>
        </w:rPr>
        <w:t xml:space="preserve">. </w:t>
      </w:r>
      <w:r w:rsidRPr="006A5E13">
        <w:rPr>
          <w:rFonts w:ascii="Helvetica Neue" w:hAnsi="Helvetica Neue" w:cs="Calibri"/>
          <w:color w:val="000000" w:themeColor="text1"/>
          <w:sz w:val="22"/>
          <w:szCs w:val="22"/>
        </w:rPr>
        <w:t>Ergon’s refinery in Vicksburg, Mississippi</w:t>
      </w:r>
      <w:r>
        <w:rPr>
          <w:rFonts w:ascii="Helvetica Neue" w:hAnsi="Helvetica Neue" w:cs="Calibri"/>
          <w:color w:val="000000" w:themeColor="text1"/>
          <w:sz w:val="22"/>
          <w:szCs w:val="22"/>
        </w:rPr>
        <w:t>,</w:t>
      </w:r>
      <w:r w:rsidRPr="006A5E13">
        <w:rPr>
          <w:rFonts w:ascii="Helvetica Neue" w:hAnsi="Helvetica Neue" w:cs="Calibri"/>
          <w:color w:val="000000" w:themeColor="text1"/>
          <w:sz w:val="22"/>
          <w:szCs w:val="22"/>
        </w:rPr>
        <w:t xml:space="preserve"> is the world’s largest producer of transformer oil feedstock and is marketed under the HyVolt brand.</w:t>
      </w:r>
    </w:p>
    <w:p w14:paraId="5F838367" w14:textId="77777777" w:rsidR="00AD6A99" w:rsidRPr="006A5E13" w:rsidRDefault="00AD6A99" w:rsidP="00AD6A99">
      <w:pPr>
        <w:widowControl w:val="0"/>
        <w:autoSpaceDE w:val="0"/>
        <w:autoSpaceDN w:val="0"/>
        <w:adjustRightInd w:val="0"/>
        <w:rPr>
          <w:rFonts w:ascii="Helvetica Neue" w:hAnsi="Helvetica Neue" w:cs="Times New Roman"/>
          <w:color w:val="000000" w:themeColor="text1"/>
          <w:sz w:val="22"/>
          <w:szCs w:val="22"/>
        </w:rPr>
      </w:pPr>
    </w:p>
    <w:p w14:paraId="5354E9C6" w14:textId="77777777" w:rsidR="00AD6A99" w:rsidRPr="006A5E13" w:rsidRDefault="00AD6A99" w:rsidP="00AD6A99">
      <w:pPr>
        <w:widowControl w:val="0"/>
        <w:autoSpaceDE w:val="0"/>
        <w:autoSpaceDN w:val="0"/>
        <w:adjustRightInd w:val="0"/>
        <w:rPr>
          <w:rFonts w:ascii="Helvetica Neue" w:hAnsi="Helvetica Neue" w:cs="Times New Roman"/>
          <w:b/>
          <w:color w:val="000000" w:themeColor="text1"/>
          <w:sz w:val="22"/>
          <w:szCs w:val="22"/>
        </w:rPr>
      </w:pPr>
      <w:r w:rsidRPr="006A5E13">
        <w:rPr>
          <w:rFonts w:ascii="Helvetica Neue" w:hAnsi="Helvetica Neue" w:cs="Times New Roman"/>
          <w:b/>
          <w:color w:val="000000" w:themeColor="text1"/>
          <w:sz w:val="22"/>
          <w:szCs w:val="22"/>
        </w:rPr>
        <w:t>General</w:t>
      </w:r>
    </w:p>
    <w:p w14:paraId="7B992539" w14:textId="77777777" w:rsidR="002F0C65" w:rsidRPr="006A5E13" w:rsidRDefault="002F0C65" w:rsidP="00AD6A99">
      <w:pPr>
        <w:widowControl w:val="0"/>
        <w:autoSpaceDE w:val="0"/>
        <w:autoSpaceDN w:val="0"/>
        <w:adjustRightInd w:val="0"/>
        <w:rPr>
          <w:rFonts w:ascii="Helvetica Neue" w:hAnsi="Helvetica Neue" w:cs="Times New Roman"/>
          <w:color w:val="000000" w:themeColor="text1"/>
          <w:sz w:val="22"/>
          <w:szCs w:val="22"/>
        </w:rPr>
      </w:pPr>
    </w:p>
    <w:p w14:paraId="3D35E2CF" w14:textId="4D6505C4"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ASTM D3487 was converted to all SI units</w:t>
      </w:r>
    </w:p>
    <w:p w14:paraId="574AF6A4" w14:textId="379B083F"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 The statement was in the scope before, but the document wasn’t all SI</w:t>
      </w:r>
    </w:p>
    <w:p w14:paraId="71E4CA71" w14:textId="5394A122"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The word “new” was changed to “unused”</w:t>
      </w:r>
    </w:p>
    <w:p w14:paraId="71373B39" w14:textId="77777777" w:rsidR="002F0C65" w:rsidRPr="006A5E13" w:rsidRDefault="002F0C65"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p>
    <w:p w14:paraId="6EE7E261" w14:textId="77777777" w:rsidR="00AD6A99" w:rsidRPr="006A5E13" w:rsidRDefault="00AD6A99" w:rsidP="006A5E13">
      <w:pPr>
        <w:widowControl w:val="0"/>
        <w:tabs>
          <w:tab w:val="left" w:pos="360"/>
        </w:tabs>
        <w:autoSpaceDE w:val="0"/>
        <w:autoSpaceDN w:val="0"/>
        <w:adjustRightInd w:val="0"/>
        <w:ind w:left="360" w:hanging="360"/>
        <w:rPr>
          <w:rFonts w:ascii="Helvetica Neue" w:hAnsi="Helvetica Neue" w:cs="Times New Roman"/>
          <w:b/>
          <w:color w:val="000000" w:themeColor="text1"/>
          <w:sz w:val="22"/>
          <w:szCs w:val="22"/>
        </w:rPr>
      </w:pPr>
      <w:r w:rsidRPr="006A5E13">
        <w:rPr>
          <w:rFonts w:ascii="Helvetica Neue" w:hAnsi="Helvetica Neue" w:cs="Times New Roman"/>
          <w:b/>
          <w:color w:val="000000" w:themeColor="text1"/>
          <w:sz w:val="22"/>
          <w:szCs w:val="22"/>
        </w:rPr>
        <w:t>Section 2</w:t>
      </w:r>
    </w:p>
    <w:p w14:paraId="3434F63E" w14:textId="77777777" w:rsid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sectPr w:rsidR="006A5E13" w:rsidSect="00F025F2">
          <w:pgSz w:w="12240" w:h="15840"/>
          <w:pgMar w:top="1440" w:right="1440" w:bottom="1440" w:left="1440" w:header="720" w:footer="720" w:gutter="0"/>
          <w:cols w:space="720"/>
          <w:docGrid w:linePitch="360"/>
        </w:sectPr>
      </w:pPr>
    </w:p>
    <w:p w14:paraId="50E49A00" w14:textId="16BDBDD3"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lastRenderedPageBreak/>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Removed ASTM D88 as a viscosity test method</w:t>
      </w:r>
    </w:p>
    <w:p w14:paraId="6CF4C817" w14:textId="03E4EF9E"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Added ASTM D117</w:t>
      </w:r>
    </w:p>
    <w:p w14:paraId="05AD0F3F" w14:textId="4122D232"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ASTM D877 was removed as an unused oil specification, but remains a used oil test</w:t>
      </w:r>
    </w:p>
    <w:p w14:paraId="5B2EA526" w14:textId="7C7A8DA9"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Added ASTM D2864 to cover definitions</w:t>
      </w:r>
    </w:p>
    <w:p w14:paraId="278284AA" w14:textId="12EA0D5D"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Added ASTM D4052 as a digital method for testing density</w:t>
      </w:r>
    </w:p>
    <w:p w14:paraId="552829C6" w14:textId="4397C261"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Added ASTM D5949 as an automated method for testing Pour Point</w:t>
      </w:r>
    </w:p>
    <w:p w14:paraId="00D77DBB" w14:textId="5D868BEA"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Added ASTM D5950 as an automated method for testing Pour Point</w:t>
      </w:r>
    </w:p>
    <w:p w14:paraId="65FF1884" w14:textId="77777777" w:rsidR="002F0C65" w:rsidRPr="006A5E13" w:rsidRDefault="002F0C65"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p>
    <w:p w14:paraId="065C78E4" w14:textId="77777777" w:rsidR="00AD6A99" w:rsidRPr="006A5E13" w:rsidRDefault="00AD6A99" w:rsidP="006A5E13">
      <w:pPr>
        <w:widowControl w:val="0"/>
        <w:tabs>
          <w:tab w:val="left" w:pos="360"/>
        </w:tabs>
        <w:autoSpaceDE w:val="0"/>
        <w:autoSpaceDN w:val="0"/>
        <w:adjustRightInd w:val="0"/>
        <w:ind w:left="360" w:hanging="360"/>
        <w:rPr>
          <w:rFonts w:ascii="Helvetica Neue" w:hAnsi="Helvetica Neue" w:cs="Times New Roman"/>
          <w:b/>
          <w:color w:val="000000" w:themeColor="text1"/>
          <w:sz w:val="22"/>
          <w:szCs w:val="22"/>
        </w:rPr>
      </w:pPr>
      <w:r w:rsidRPr="006A5E13">
        <w:rPr>
          <w:rFonts w:ascii="Helvetica Neue" w:hAnsi="Helvetica Neue" w:cs="Times New Roman"/>
          <w:b/>
          <w:color w:val="000000" w:themeColor="text1"/>
          <w:sz w:val="22"/>
          <w:szCs w:val="22"/>
        </w:rPr>
        <w:t>Section 3</w:t>
      </w:r>
    </w:p>
    <w:p w14:paraId="24968837" w14:textId="101DA0CF" w:rsidR="009D45C0" w:rsidRPr="006A5E13" w:rsidRDefault="006A5E13" w:rsidP="006A5E13">
      <w:pPr>
        <w:tabs>
          <w:tab w:val="left" w:pos="360"/>
        </w:tabs>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Statements related to D2864 and D117 were added</w:t>
      </w:r>
    </w:p>
    <w:p w14:paraId="58135B95" w14:textId="49466352" w:rsidR="005027B1" w:rsidRPr="006A5E13" w:rsidRDefault="005027B1" w:rsidP="006A5E13">
      <w:pPr>
        <w:tabs>
          <w:tab w:val="left" w:pos="360"/>
        </w:tabs>
        <w:ind w:left="360" w:hanging="360"/>
        <w:rPr>
          <w:rFonts w:ascii="Helvetica Neue" w:hAnsi="Helvetica Neue" w:cs="Times New Roman"/>
          <w:color w:val="000000" w:themeColor="text1"/>
          <w:sz w:val="22"/>
          <w:szCs w:val="22"/>
        </w:rPr>
      </w:pPr>
    </w:p>
    <w:p w14:paraId="79AD5790" w14:textId="47AC1CAB" w:rsidR="00AD6A99" w:rsidRPr="006A5E13" w:rsidRDefault="00AD6A99" w:rsidP="006A5E13">
      <w:pPr>
        <w:widowControl w:val="0"/>
        <w:tabs>
          <w:tab w:val="left" w:pos="360"/>
        </w:tabs>
        <w:autoSpaceDE w:val="0"/>
        <w:autoSpaceDN w:val="0"/>
        <w:adjustRightInd w:val="0"/>
        <w:ind w:left="360" w:hanging="360"/>
        <w:rPr>
          <w:rFonts w:ascii="Helvetica Neue" w:hAnsi="Helvetica Neue" w:cs="Times New Roman"/>
          <w:b/>
          <w:color w:val="000000" w:themeColor="text1"/>
          <w:sz w:val="22"/>
          <w:szCs w:val="22"/>
        </w:rPr>
      </w:pPr>
      <w:r w:rsidRPr="006A5E13">
        <w:rPr>
          <w:rFonts w:ascii="Helvetica Neue" w:hAnsi="Helvetica Neue" w:cs="Times New Roman"/>
          <w:b/>
          <w:color w:val="000000" w:themeColor="text1"/>
          <w:sz w:val="22"/>
          <w:szCs w:val="22"/>
        </w:rPr>
        <w:t>Table 1</w:t>
      </w:r>
    </w:p>
    <w:p w14:paraId="0A0539DC" w14:textId="5FFCFC86"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Updated with current ASTM recommended SI units</w:t>
      </w:r>
    </w:p>
    <w:p w14:paraId="05895ADB" w14:textId="036097BD"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Added automated method D4052 for density and methods D5949 and D5950 for Pour Point</w:t>
      </w:r>
    </w:p>
    <w:p w14:paraId="016F444D" w14:textId="2BA9E81B"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 The manual methods D1298 for density and D97 for Pour Point are referenced as the</w:t>
      </w:r>
      <w:r w:rsidR="002F0C65" w:rsidRPr="006A5E13">
        <w:rPr>
          <w:rFonts w:ascii="Helvetica Neue" w:hAnsi="Helvetica Neue" w:cs="Times New Roman"/>
          <w:color w:val="000000" w:themeColor="text1"/>
          <w:sz w:val="22"/>
          <w:szCs w:val="22"/>
        </w:rPr>
        <w:t xml:space="preserve"> </w:t>
      </w:r>
      <w:r w:rsidR="00AD6A99" w:rsidRPr="006A5E13">
        <w:rPr>
          <w:rFonts w:ascii="Helvetica Neue" w:hAnsi="Helvetica Neue" w:cs="Times New Roman"/>
          <w:color w:val="000000" w:themeColor="text1"/>
          <w:sz w:val="22"/>
          <w:szCs w:val="22"/>
        </w:rPr>
        <w:t>referee methods in case of dispute</w:t>
      </w:r>
    </w:p>
    <w:p w14:paraId="249BEF0D" w14:textId="411EA030"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Removed ASTM D88</w:t>
      </w:r>
    </w:p>
    <w:p w14:paraId="0D2E9E98" w14:textId="05E86E98"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Removed ASTM D877</w:t>
      </w:r>
    </w:p>
    <w:p w14:paraId="5086D62B" w14:textId="080F4308"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Added requirement for Furanic Compounds by ASTM D5837</w:t>
      </w:r>
    </w:p>
    <w:p w14:paraId="5FD30081" w14:textId="15C15EA3"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Multiple footnotes were reworded</w:t>
      </w:r>
    </w:p>
    <w:p w14:paraId="5D23F648" w14:textId="77777777" w:rsid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sectPr w:rsidR="006A5E13" w:rsidSect="006A5E13">
          <w:type w:val="continuous"/>
          <w:pgSz w:w="12240" w:h="15840"/>
          <w:pgMar w:top="1440" w:right="1440" w:bottom="1440" w:left="1440" w:header="720" w:footer="720" w:gutter="0"/>
          <w:cols w:space="720"/>
          <w:docGrid w:linePitch="360"/>
        </w:sectPr>
      </w:pPr>
    </w:p>
    <w:p w14:paraId="3CC744F5" w14:textId="6ED7855B" w:rsidR="002F0C65" w:rsidRPr="006A5E13" w:rsidRDefault="002F0C65"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p>
    <w:p w14:paraId="43AD3AA7" w14:textId="77777777" w:rsidR="00AD6A99" w:rsidRPr="006A5E13" w:rsidRDefault="00AD6A99" w:rsidP="006A5E13">
      <w:pPr>
        <w:widowControl w:val="0"/>
        <w:tabs>
          <w:tab w:val="left" w:pos="360"/>
        </w:tabs>
        <w:autoSpaceDE w:val="0"/>
        <w:autoSpaceDN w:val="0"/>
        <w:adjustRightInd w:val="0"/>
        <w:ind w:left="360" w:hanging="360"/>
        <w:rPr>
          <w:rFonts w:ascii="Helvetica Neue" w:hAnsi="Helvetica Neue" w:cs="Times New Roman"/>
          <w:b/>
          <w:color w:val="000000" w:themeColor="text1"/>
          <w:sz w:val="22"/>
          <w:szCs w:val="22"/>
        </w:rPr>
      </w:pPr>
      <w:r w:rsidRPr="006A5E13">
        <w:rPr>
          <w:rFonts w:ascii="Helvetica Neue" w:hAnsi="Helvetica Neue" w:cs="Times New Roman"/>
          <w:b/>
          <w:color w:val="000000" w:themeColor="text1"/>
          <w:sz w:val="22"/>
          <w:szCs w:val="22"/>
        </w:rPr>
        <w:t>Appendixes</w:t>
      </w:r>
    </w:p>
    <w:p w14:paraId="67AFF5BA" w14:textId="757430C3"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X1.1 – Updated with SI units and values</w:t>
      </w:r>
    </w:p>
    <w:p w14:paraId="6472D156" w14:textId="09E74664"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X2.2.1.1 – Descriptive information for D877 was removed</w:t>
      </w:r>
    </w:p>
    <w:p w14:paraId="23D5B83F" w14:textId="4E16A96A"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X2.2.1.2 – Dielectric Breakdown VDE Electrodes changed to X2.2.1.1, Editorial change</w:t>
      </w:r>
    </w:p>
    <w:p w14:paraId="590A00DB" w14:textId="5B2A37AF"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X2.2.2 – Dielectric Breakdown Voltage – Impulse, Editorial change</w:t>
      </w:r>
    </w:p>
    <w:p w14:paraId="6FCFC5B2" w14:textId="0C70AF3A"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X2.2.3 – Dissipation Factor (Power Factor), Editorial change</w:t>
      </w:r>
    </w:p>
    <w:p w14:paraId="10E02C56" w14:textId="2673FBA3"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X2.3.6 – Gassing Tendency changed to X2.2.4 and moved from Chemical Properties to Electrical Properties</w:t>
      </w:r>
    </w:p>
    <w:p w14:paraId="03119DA9" w14:textId="115E43FE"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lastRenderedPageBreak/>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X2.3.6 – Added as Furanic Compounds</w:t>
      </w:r>
    </w:p>
    <w:p w14:paraId="55DA1BA2" w14:textId="3E19FD02"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X2.3.7 – PCB Content, Editorial changes</w:t>
      </w:r>
    </w:p>
    <w:p w14:paraId="2B62FB62" w14:textId="15E0D4D2"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X3 – Crude Oil changed to Petroleum Sources</w:t>
      </w:r>
    </w:p>
    <w:p w14:paraId="0F52ADCE" w14:textId="5D99CFC5"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X3.1 – Crude Oil changed to Petroleum Sources and the definition was reworded</w:t>
      </w:r>
    </w:p>
    <w:p w14:paraId="71E26B16" w14:textId="45393784" w:rsidR="00AD6A99" w:rsidRPr="006A5E13" w:rsidRDefault="006A5E13" w:rsidP="006A5E13">
      <w:pPr>
        <w:widowControl w:val="0"/>
        <w:tabs>
          <w:tab w:val="left" w:pos="360"/>
        </w:tabs>
        <w:autoSpaceDE w:val="0"/>
        <w:autoSpaceDN w:val="0"/>
        <w:adjustRightInd w:val="0"/>
        <w:ind w:left="360" w:hanging="360"/>
        <w:rPr>
          <w:rFonts w:ascii="Helvetica Neue" w:hAnsi="Helvetica Neue" w:cs="Times New Roman"/>
          <w:color w:val="000000" w:themeColor="text1"/>
          <w:sz w:val="22"/>
          <w:szCs w:val="22"/>
        </w:rPr>
      </w:pPr>
      <w:r>
        <w:rPr>
          <w:rFonts w:ascii="Helvetica Neue" w:hAnsi="Helvetica Neue" w:cs="Times New Roman"/>
          <w:color w:val="000000" w:themeColor="text1"/>
          <w:sz w:val="22"/>
          <w:szCs w:val="22"/>
        </w:rPr>
        <w:t>•</w:t>
      </w:r>
      <w:r>
        <w:rPr>
          <w:rFonts w:ascii="Helvetica Neue" w:hAnsi="Helvetica Neue" w:cs="Times New Roman"/>
          <w:color w:val="000000" w:themeColor="text1"/>
          <w:sz w:val="22"/>
          <w:szCs w:val="22"/>
        </w:rPr>
        <w:tab/>
      </w:r>
      <w:r w:rsidR="00AD6A99" w:rsidRPr="006A5E13">
        <w:rPr>
          <w:rFonts w:ascii="Helvetica Neue" w:hAnsi="Helvetica Neue" w:cs="Times New Roman"/>
          <w:color w:val="000000" w:themeColor="text1"/>
          <w:sz w:val="22"/>
          <w:szCs w:val="22"/>
        </w:rPr>
        <w:t>X3.2 – Refining Processes Hydrogen Treatment changed to Hydrotreating and Hydrocracking</w:t>
      </w:r>
    </w:p>
    <w:p w14:paraId="16330E20" w14:textId="77777777" w:rsidR="00AD6A99" w:rsidRDefault="00AD6A99" w:rsidP="00AD6A99">
      <w:pPr>
        <w:widowControl w:val="0"/>
        <w:autoSpaceDE w:val="0"/>
        <w:autoSpaceDN w:val="0"/>
        <w:adjustRightInd w:val="0"/>
        <w:rPr>
          <w:rFonts w:ascii="Helvetica Neue" w:hAnsi="Helvetica Neue" w:cs="Times New Roman"/>
          <w:color w:val="000000" w:themeColor="text1"/>
          <w:sz w:val="22"/>
          <w:szCs w:val="22"/>
        </w:rPr>
      </w:pPr>
    </w:p>
    <w:p w14:paraId="0D9A6D0E" w14:textId="25271B20" w:rsidR="009651A6" w:rsidRPr="006A5E13" w:rsidRDefault="009651A6" w:rsidP="00AD6A99">
      <w:pPr>
        <w:widowControl w:val="0"/>
        <w:autoSpaceDE w:val="0"/>
        <w:autoSpaceDN w:val="0"/>
        <w:adjustRightInd w:val="0"/>
        <w:rPr>
          <w:rFonts w:ascii="Helvetica Neue" w:hAnsi="Helvetica Neue" w:cs="Times New Roman"/>
          <w:color w:val="000000" w:themeColor="text1"/>
          <w:sz w:val="22"/>
          <w:szCs w:val="22"/>
        </w:rPr>
      </w:pPr>
      <w:r>
        <w:rPr>
          <w:rFonts w:ascii="Helvetica Neue" w:hAnsi="Helvetica Neue" w:cs="Times New Roman"/>
          <w:noProof/>
          <w:color w:val="000000" w:themeColor="text1"/>
          <w:sz w:val="22"/>
          <w:szCs w:val="22"/>
        </w:rPr>
        <mc:AlternateContent>
          <mc:Choice Requires="wps">
            <w:drawing>
              <wp:anchor distT="0" distB="0" distL="114300" distR="114300" simplePos="0" relativeHeight="251659264" behindDoc="0" locked="0" layoutInCell="1" allowOverlap="1" wp14:anchorId="68485E95" wp14:editId="7071369E">
                <wp:simplePos x="0" y="0"/>
                <wp:positionH relativeFrom="column">
                  <wp:posOffset>-60667</wp:posOffset>
                </wp:positionH>
                <wp:positionV relativeFrom="paragraph">
                  <wp:posOffset>119380</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68B1F" id="Straight_x0020_Connector_x0020_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pt,9.4pt" to="463.2pt,9.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" strokecolor="#5b9bd5 [3204]" strokeweight=".5pt">
                <v:stroke joinstyle="miter"/>
              </v:line>
            </w:pict>
          </mc:Fallback>
        </mc:AlternateContent>
      </w:r>
    </w:p>
    <w:p w14:paraId="42494E4C" w14:textId="77777777" w:rsidR="009651A6" w:rsidRDefault="009651A6" w:rsidP="005027B1">
      <w:pPr>
        <w:widowControl w:val="0"/>
        <w:autoSpaceDE w:val="0"/>
        <w:autoSpaceDN w:val="0"/>
        <w:adjustRightInd w:val="0"/>
        <w:rPr>
          <w:rFonts w:ascii="Helvetica Neue" w:hAnsi="Helvetica Neue" w:cs="Times New Roman"/>
          <w:i/>
          <w:iCs/>
          <w:color w:val="000000" w:themeColor="text1"/>
          <w:sz w:val="22"/>
          <w:szCs w:val="22"/>
        </w:rPr>
      </w:pPr>
    </w:p>
    <w:p w14:paraId="75371BE0" w14:textId="14609D67" w:rsidR="005027B1" w:rsidRPr="006A5E13" w:rsidRDefault="009B5DBF" w:rsidP="005027B1">
      <w:pPr>
        <w:widowControl w:val="0"/>
        <w:autoSpaceDE w:val="0"/>
        <w:autoSpaceDN w:val="0"/>
        <w:adjustRightInd w:val="0"/>
        <w:rPr>
          <w:rFonts w:ascii="Helvetica Neue" w:hAnsi="Helvetica Neue" w:cs="Times New Roman"/>
          <w:i/>
          <w:iCs/>
          <w:color w:val="000000" w:themeColor="text1"/>
          <w:sz w:val="22"/>
          <w:szCs w:val="22"/>
        </w:rPr>
      </w:pPr>
      <w:r>
        <w:rPr>
          <w:rFonts w:ascii="Helvetica Neue" w:hAnsi="Helvetica Neue" w:cs="Times New Roman"/>
          <w:i/>
          <w:iCs/>
          <w:color w:val="000000" w:themeColor="text1"/>
          <w:sz w:val="22"/>
          <w:szCs w:val="22"/>
        </w:rPr>
        <w:t xml:space="preserve">Ergon’s </w:t>
      </w:r>
      <w:r w:rsidR="005027B1" w:rsidRPr="006A5E13">
        <w:rPr>
          <w:rFonts w:ascii="Helvetica Neue" w:hAnsi="Helvetica Neue" w:cs="Times New Roman"/>
          <w:i/>
          <w:iCs/>
          <w:color w:val="000000" w:themeColor="text1"/>
          <w:sz w:val="22"/>
          <w:szCs w:val="22"/>
        </w:rPr>
        <w:t>Jimmy M. Rasco is a member of the American Society for Testing and Materials (ASTM), where he serves as Chairman of Subcommittee 27.01 for Mineral Oil — the committee responsible for the new D3487 standard. As Ergon Vice President – Global Base Oil Technology, Rasco is responsible for the development of quality naphthenic and paraffinic base oils. He has worked with Ergon for 22 years and has 42 years of experience in quality control and technical support of petroleum refined products. Jimmy has a B.S. degree in Chemistry from Alcorn State University. In addition to ASTM, Jimmy is a member of the American Chemical Society, CIGRE, IEEE, IEC, and ANSI TAG to IEC TC 10. He has served on numerous maintenance teams and working groups for international organizations governing transformer oil.</w:t>
      </w:r>
    </w:p>
    <w:p w14:paraId="3DE0D423" w14:textId="77777777" w:rsidR="005027B1" w:rsidRPr="006A5E13" w:rsidRDefault="005027B1" w:rsidP="00AD6A99">
      <w:pPr>
        <w:widowControl w:val="0"/>
        <w:autoSpaceDE w:val="0"/>
        <w:autoSpaceDN w:val="0"/>
        <w:adjustRightInd w:val="0"/>
        <w:rPr>
          <w:rFonts w:ascii="Helvetica Neue" w:hAnsi="Helvetica Neue" w:cs="Times New Roman"/>
          <w:i/>
          <w:iCs/>
          <w:color w:val="000000" w:themeColor="text1"/>
          <w:sz w:val="22"/>
          <w:szCs w:val="22"/>
        </w:rPr>
      </w:pPr>
    </w:p>
    <w:sectPr w:rsidR="005027B1" w:rsidRPr="006A5E13" w:rsidSect="006A5E1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A99"/>
    <w:rsid w:val="00023DEE"/>
    <w:rsid w:val="002F0C65"/>
    <w:rsid w:val="005027B1"/>
    <w:rsid w:val="00611364"/>
    <w:rsid w:val="006A5E13"/>
    <w:rsid w:val="009651A6"/>
    <w:rsid w:val="009B5321"/>
    <w:rsid w:val="009B5DBF"/>
    <w:rsid w:val="009D45C0"/>
    <w:rsid w:val="00A334A9"/>
    <w:rsid w:val="00A81631"/>
    <w:rsid w:val="00AD6A99"/>
    <w:rsid w:val="00BC4319"/>
    <w:rsid w:val="00C818BA"/>
    <w:rsid w:val="00E77D1C"/>
    <w:rsid w:val="00ED5A2D"/>
    <w:rsid w:val="00F025F2"/>
    <w:rsid w:val="00F17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3B5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2732</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Pendleton</dc:creator>
  <cp:keywords/>
  <dc:description/>
  <cp:lastModifiedBy>Cathy Pendleton</cp:lastModifiedBy>
  <cp:revision>3</cp:revision>
  <dcterms:created xsi:type="dcterms:W3CDTF">2016-10-27T20:29:00Z</dcterms:created>
  <dcterms:modified xsi:type="dcterms:W3CDTF">2016-10-27T20:32:00Z</dcterms:modified>
</cp:coreProperties>
</file>